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</w:t>
            </w:r>
            <w:r>
              <w:rPr>
                <w:b/>
                <w:sz w:val="20"/>
                <w:szCs w:val="20"/>
              </w:rPr>
              <w:t>я: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профессиональная программа - программа повышения квалификации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«Применение дистанционных образовательных технологий при обучении работодателей и работников по вопросам охраны труда»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166</Words>
  <Characters>1339</Characters>
  <CharactersWithSpaces>1495</CharactersWithSpaces>
  <Paragraphs>25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2022-11-17T17:29:41Z</dcterms:modified>
  <cp:revision>9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